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64"/>
          <w:szCs w:val="64"/>
        </w:rPr>
      </w:pPr>
      <w:bookmarkStart w:colFirst="0" w:colLast="0" w:name="_n6kw2umlx1rj" w:id="0"/>
      <w:bookmarkEnd w:id="0"/>
      <w:r w:rsidDel="00000000" w:rsidR="00000000" w:rsidRPr="00000000">
        <w:rPr>
          <w:sz w:val="64"/>
          <w:szCs w:val="64"/>
          <w:rtl w:val="0"/>
        </w:rPr>
        <w:t xml:space="preserve">Supervised Work Experience Record</w:t>
      </w:r>
    </w:p>
    <w:p w:rsidR="00000000" w:rsidDel="00000000" w:rsidP="00000000" w:rsidRDefault="00000000" w:rsidRPr="00000000" w14:paraId="00000002">
      <w:pPr>
        <w:rPr/>
      </w:pPr>
      <w:r w:rsidDel="00000000" w:rsidR="00000000" w:rsidRPr="00000000">
        <w:rPr>
          <w:rtl w:val="0"/>
        </w:rPr>
        <w:t xml:space="preserve">To be filled out by Assistant Guide and checked by supervising guide</w:t>
      </w:r>
    </w:p>
    <w:p w:rsidR="00000000" w:rsidDel="00000000" w:rsidP="00000000" w:rsidRDefault="00000000" w:rsidRPr="00000000" w14:paraId="00000003">
      <w:pPr>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pPr>
            <w:r w:rsidDel="00000000" w:rsidR="00000000" w:rsidRPr="00000000">
              <w:rPr>
                <w:rtl w:val="0"/>
              </w:rPr>
              <w:t xml:space="preserve">Date(s):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Supervising Guide:</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Operation:</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Trip/area:</w:t>
            </w:r>
          </w:p>
        </w:tc>
      </w:tr>
    </w:tbl>
    <w:p w:rsidR="00000000" w:rsidDel="00000000" w:rsidP="00000000" w:rsidRDefault="00000000" w:rsidRPr="00000000" w14:paraId="0000000C">
      <w:pPr>
        <w:pStyle w:val="Heading2"/>
        <w:rPr/>
      </w:pPr>
      <w:bookmarkStart w:colFirst="0" w:colLast="0" w:name="_cummns1xuuot" w:id="1"/>
      <w:bookmarkEnd w:id="1"/>
      <w:r w:rsidDel="00000000" w:rsidR="00000000" w:rsidRPr="00000000">
        <w:rPr>
          <w:rtl w:val="0"/>
        </w:rPr>
        <w:t xml:space="preserve">Pre-trip Briefing</w:t>
      </w:r>
    </w:p>
    <w:tbl>
      <w:tblPr>
        <w:tblStyle w:val="Table2"/>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35"/>
        <w:tblGridChange w:id="0">
          <w:tblGrid>
            <w:gridCol w:w="2235"/>
            <w:gridCol w:w="8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pPr>
            <w:r w:rsidDel="00000000" w:rsidR="00000000" w:rsidRPr="00000000">
              <w:rPr>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widowControl w:val="0"/>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pPr>
            <w:r w:rsidDel="00000000" w:rsidR="00000000" w:rsidRPr="00000000">
              <w:rPr>
                <w:rtl w:val="0"/>
              </w:rPr>
              <w:t xml:space="preserve">Contingencies: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pPr>
            <w:r w:rsidDel="00000000" w:rsidR="00000000" w:rsidRPr="00000000">
              <w:rPr>
                <w:rtl w:val="0"/>
              </w:rPr>
              <w:t xml:space="preserve">Client assessment:</w:t>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pPr>
            <w:r w:rsidDel="00000000" w:rsidR="00000000" w:rsidRPr="00000000">
              <w:rPr>
                <w:rtl w:val="0"/>
              </w:rPr>
              <w:t xml:space="preserve">Other:</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pPr>
            <w:r w:rsidDel="00000000" w:rsidR="00000000" w:rsidRPr="00000000">
              <w:rPr>
                <w:rtl w:val="0"/>
              </w:rPr>
            </w:r>
          </w:p>
        </w:tc>
      </w:tr>
    </w:tbl>
    <w:p w:rsidR="00000000" w:rsidDel="00000000" w:rsidP="00000000" w:rsidRDefault="00000000" w:rsidRPr="00000000" w14:paraId="00000024">
      <w:pPr>
        <w:pStyle w:val="Heading2"/>
        <w:rPr/>
      </w:pPr>
      <w:bookmarkStart w:colFirst="0" w:colLast="0" w:name="_m1t368u5p4e5" w:id="2"/>
      <w:bookmarkEnd w:id="2"/>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rPr/>
      </w:pPr>
      <w:bookmarkStart w:colFirst="0" w:colLast="0" w:name="_mlhq8nltl1fq" w:id="3"/>
      <w:bookmarkEnd w:id="3"/>
      <w:r w:rsidDel="00000000" w:rsidR="00000000" w:rsidRPr="00000000">
        <w:rPr>
          <w:rtl w:val="0"/>
        </w:rPr>
        <w:t xml:space="preserve">Daily Log</w:t>
      </w:r>
    </w:p>
    <w:tbl>
      <w:tblPr>
        <w:tblStyle w:val="Table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020"/>
        <w:gridCol w:w="1335"/>
        <w:gridCol w:w="1050"/>
        <w:tblGridChange w:id="0">
          <w:tblGrid>
            <w:gridCol w:w="1380"/>
            <w:gridCol w:w="7020"/>
            <w:gridCol w:w="1335"/>
            <w:gridCol w:w="1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sz w:val="16"/>
                <w:szCs w:val="16"/>
              </w:rPr>
            </w:pPr>
            <w:r w:rsidDel="00000000" w:rsidR="00000000" w:rsidRPr="00000000">
              <w:rPr>
                <w:b w:val="1"/>
                <w:sz w:val="16"/>
                <w:szCs w:val="16"/>
                <w:rtl w:val="0"/>
              </w:rPr>
              <w:t xml:space="preserve">Quality Supervised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sz w:val="16"/>
                <w:szCs w:val="16"/>
              </w:rPr>
            </w:pPr>
            <w:r w:rsidDel="00000000" w:rsidR="00000000" w:rsidRPr="00000000">
              <w:rPr>
                <w:b w:val="1"/>
                <w:sz w:val="16"/>
                <w:szCs w:val="16"/>
                <w:rtl w:val="0"/>
              </w:rPr>
              <w:t xml:space="preserve">Direct/ Indirect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pPr>
            <w:r w:rsidDel="00000000" w:rsidR="00000000" w:rsidRPr="00000000">
              <w:rPr>
                <w:rtl w:val="0"/>
              </w:rPr>
              <w:t xml:space="preserve">Wx summary:</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Snowpack summary:</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Hazard Analysis:</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Activity:</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pPr>
            <w:r w:rsidDel="00000000" w:rsidR="00000000" w:rsidRPr="00000000">
              <w:rPr>
                <w:rtl w:val="0"/>
              </w:rPr>
              <w:t xml:space="preserve">Wx summary:</w:t>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t xml:space="preserve">Snowpack summary:</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Hazard Analysis:</w:t>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rtl w:val="0"/>
              </w:rPr>
              <w:t xml:space="preserve">Activity:</w:t>
            </w:r>
          </w:p>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pPr>
            <w:r w:rsidDel="00000000" w:rsidR="00000000" w:rsidRPr="00000000">
              <w:rPr>
                <w:rtl w:val="0"/>
              </w:rPr>
              <w:t xml:space="preserve">Wx summary:</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t xml:space="preserve">Snowpack summary:</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Hazard Analysis:</w:t>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t xml:space="preserve">Activity:</w:t>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pPr>
            <w:r w:rsidDel="00000000" w:rsidR="00000000" w:rsidRPr="00000000">
              <w:rPr>
                <w:rtl w:val="0"/>
              </w:rPr>
              <w:t xml:space="preserve">Wx summary:</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t xml:space="preserve">Snowpack summary:</w:t>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t xml:space="preserve">Hazard Analysis:</w:t>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t xml:space="preserve">Activity:</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r>
          </w:p>
        </w:tc>
      </w:tr>
    </w:tbl>
    <w:p w:rsidR="00000000" w:rsidDel="00000000" w:rsidP="00000000" w:rsidRDefault="00000000" w:rsidRPr="00000000" w14:paraId="0000005E">
      <w:pPr>
        <w:pStyle w:val="Heading2"/>
        <w:rPr/>
      </w:pPr>
      <w:bookmarkStart w:colFirst="0" w:colLast="0" w:name="_w3zlzvf8kee9" w:id="4"/>
      <w:bookmarkEnd w:id="4"/>
      <w:r w:rsidDel="00000000" w:rsidR="00000000" w:rsidRPr="00000000">
        <w:rPr>
          <w:rtl w:val="0"/>
        </w:rPr>
        <w:t xml:space="preserve">Debrief</w:t>
      </w:r>
    </w:p>
    <w:tbl>
      <w:tblPr>
        <w:tblStyle w:val="Table4"/>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590"/>
        <w:tblGridChange w:id="0">
          <w:tblGrid>
            <w:gridCol w:w="297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rtl w:val="0"/>
              </w:rPr>
              <w:t xml:space="preserve">Did the activity go according to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pPr>
            <w:r w:rsidDel="00000000" w:rsidR="00000000" w:rsidRPr="00000000">
              <w:rPr>
                <w:rtl w:val="0"/>
              </w:rPr>
              <w:t xml:space="preserve">When/where were you most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widowControl w:val="0"/>
              <w:rPr/>
            </w:pP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pPr>
            <w:r w:rsidDel="00000000" w:rsidR="00000000" w:rsidRPr="00000000">
              <w:rPr>
                <w:rtl w:val="0"/>
              </w:rPr>
              <w:t xml:space="preserve">What went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t xml:space="preserve">Improvements: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pPr>
            <w:r w:rsidDel="00000000" w:rsidR="00000000" w:rsidRPr="00000000">
              <w:rPr>
                <w:rtl w:val="0"/>
              </w:rPr>
            </w:r>
          </w:p>
          <w:p w:rsidR="00000000" w:rsidDel="00000000" w:rsidP="00000000" w:rsidRDefault="00000000" w:rsidRPr="00000000" w14:paraId="0000006E">
            <w:pPr>
              <w:widowControl w:val="0"/>
              <w:rPr/>
            </w:pPr>
            <w:r w:rsidDel="00000000" w:rsidR="00000000" w:rsidRPr="00000000">
              <w:rPr>
                <w:rtl w:val="0"/>
              </w:rPr>
            </w:r>
          </w:p>
          <w:p w:rsidR="00000000" w:rsidDel="00000000" w:rsidP="00000000" w:rsidRDefault="00000000" w:rsidRPr="00000000" w14:paraId="0000006F">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t xml:space="preserve">What would you do differently: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r>
          </w:p>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tbl>
      <w:tblPr>
        <w:tblStyle w:val="Table5"/>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3315"/>
        <w:gridCol w:w="1035"/>
        <w:gridCol w:w="3465"/>
        <w:tblGridChange w:id="0">
          <w:tblGrid>
            <w:gridCol w:w="2970"/>
            <w:gridCol w:w="3315"/>
            <w:gridCol w:w="1035"/>
            <w:gridCol w:w="346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pPr>
            <w:r w:rsidDel="00000000" w:rsidR="00000000" w:rsidRPr="00000000">
              <w:rPr>
                <w:rtl w:val="0"/>
              </w:rPr>
              <w:t xml:space="preserve">Supervising guide comments: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tl w:val="0"/>
              </w:rPr>
              <w:t xml:space="preserve">Supervising guide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pPr>
            <w:r w:rsidDel="00000000" w:rsidR="00000000" w:rsidRPr="00000000">
              <w:rPr>
                <w:rtl w:val="0"/>
              </w:rPr>
            </w:r>
          </w:p>
        </w:tc>
      </w:tr>
    </w:tbl>
    <w:p w:rsidR="00000000" w:rsidDel="00000000" w:rsidP="00000000" w:rsidRDefault="00000000" w:rsidRPr="00000000" w14:paraId="00000081">
      <w:pPr>
        <w:pStyle w:val="Heading2"/>
        <w:jc w:val="both"/>
        <w:rPr/>
      </w:pPr>
      <w:bookmarkStart w:colFirst="0" w:colLast="0" w:name="_ng4g8ve18vmf" w:id="5"/>
      <w:bookmarkEnd w:id="5"/>
      <w:r w:rsidDel="00000000" w:rsidR="00000000" w:rsidRPr="00000000">
        <w:rPr>
          <w:rtl w:val="0"/>
        </w:rPr>
        <w:t xml:space="preserve">Quality Supervised Days</w:t>
      </w:r>
    </w:p>
    <w:p w:rsidR="00000000" w:rsidDel="00000000" w:rsidP="00000000" w:rsidRDefault="00000000" w:rsidRPr="00000000" w14:paraId="00000082">
      <w:pPr>
        <w:rPr>
          <w:sz w:val="22"/>
          <w:szCs w:val="22"/>
        </w:rPr>
      </w:pPr>
      <w:r w:rsidDel="00000000" w:rsidR="00000000" w:rsidRPr="00000000">
        <w:rPr>
          <w:sz w:val="22"/>
          <w:szCs w:val="22"/>
          <w:rtl w:val="0"/>
        </w:rPr>
        <w:t xml:space="preserve">For work days to be eligible to count as prerequisite guiding days for NZMGA courses, they must be recognised by the Training Officer as Quality Supervised Days. These are days when Guides are in the field actively guiding or instructing. Hut days on mountaineering trips, film safety work, travel days, and non-flying heli ski days are not acceptable as guiding days.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spacing w:after="120" w:before="120" w:lineRule="auto"/>
        <w:jc w:val="both"/>
        <w:rPr/>
      </w:pPr>
      <w:bookmarkStart w:colFirst="0" w:colLast="0" w:name="_v4wp9wwd8g7d" w:id="6"/>
      <w:bookmarkEnd w:id="6"/>
      <w:r w:rsidDel="00000000" w:rsidR="00000000" w:rsidRPr="00000000">
        <w:rPr>
          <w:rtl w:val="0"/>
        </w:rPr>
        <w:t xml:space="preserve">Supervising Guide’s Responsibilities</w:t>
      </w:r>
    </w:p>
    <w:p w:rsidR="00000000" w:rsidDel="00000000" w:rsidP="00000000" w:rsidRDefault="00000000" w:rsidRPr="00000000" w14:paraId="00000085">
      <w:pPr>
        <w:numPr>
          <w:ilvl w:val="0"/>
          <w:numId w:val="1"/>
        </w:numPr>
        <w:spacing w:after="200" w:lineRule="auto"/>
        <w:ind w:left="540" w:hanging="360"/>
        <w:jc w:val="both"/>
        <w:rPr>
          <w:sz w:val="22"/>
          <w:szCs w:val="22"/>
        </w:rPr>
      </w:pPr>
      <w:r w:rsidDel="00000000" w:rsidR="00000000" w:rsidRPr="00000000">
        <w:rPr>
          <w:sz w:val="22"/>
          <w:szCs w:val="22"/>
          <w:rtl w:val="0"/>
        </w:rPr>
        <w:t xml:space="preserve">Supervising Guides should endeavour to create an environment where Assistant Guides can further their skills and experience without undue pressures or responsibilities;</w:t>
      </w:r>
    </w:p>
    <w:p w:rsidR="00000000" w:rsidDel="00000000" w:rsidP="00000000" w:rsidRDefault="00000000" w:rsidRPr="00000000" w14:paraId="00000086">
      <w:pPr>
        <w:numPr>
          <w:ilvl w:val="0"/>
          <w:numId w:val="1"/>
        </w:numPr>
        <w:spacing w:after="200" w:lineRule="auto"/>
        <w:ind w:left="540" w:hanging="360"/>
        <w:jc w:val="both"/>
        <w:rPr>
          <w:sz w:val="22"/>
          <w:szCs w:val="22"/>
        </w:rPr>
      </w:pPr>
      <w:r w:rsidDel="00000000" w:rsidR="00000000" w:rsidRPr="00000000">
        <w:rPr>
          <w:sz w:val="22"/>
          <w:szCs w:val="22"/>
          <w:rtl w:val="0"/>
        </w:rPr>
        <w:t xml:space="preserve">They should ensure that tasks assigned to Assistant Guides are appropriate to their personal abilities, level of training and experience;</w:t>
      </w:r>
    </w:p>
    <w:p w:rsidR="00000000" w:rsidDel="00000000" w:rsidP="00000000" w:rsidRDefault="00000000" w:rsidRPr="00000000" w14:paraId="00000087">
      <w:pPr>
        <w:numPr>
          <w:ilvl w:val="0"/>
          <w:numId w:val="1"/>
        </w:numPr>
        <w:spacing w:after="200" w:lineRule="auto"/>
        <w:ind w:left="540" w:hanging="360"/>
        <w:jc w:val="both"/>
        <w:rPr>
          <w:sz w:val="22"/>
          <w:szCs w:val="22"/>
        </w:rPr>
      </w:pPr>
      <w:r w:rsidDel="00000000" w:rsidR="00000000" w:rsidRPr="00000000">
        <w:rPr>
          <w:sz w:val="22"/>
          <w:szCs w:val="22"/>
          <w:rtl w:val="0"/>
        </w:rPr>
        <w:t xml:space="preserve">They should give consideration to factors such as objective hazards, access, good communication, and, should rescue be required, rapid response.</w:t>
      </w:r>
      <w:r w:rsidDel="00000000" w:rsidR="00000000" w:rsidRPr="00000000">
        <w:rPr>
          <w:rtl w:val="0"/>
        </w:rPr>
      </w:r>
    </w:p>
    <w:sectPr>
      <w:headerReference r:id="rId6" w:type="default"/>
      <w:footerReference r:id="rId7" w:type="default"/>
      <w:pgSz w:h="16838" w:w="11906" w:orient="portrait"/>
      <w:pgMar w:bottom="720" w:top="720" w:left="720" w:right="720" w:header="567"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tabs>
        <w:tab w:val="center" w:pos="4513"/>
        <w:tab w:val="right" w:pos="9026"/>
      </w:tabs>
      <w:jc w:val="right"/>
      <w:rPr>
        <w:sz w:val="20"/>
        <w:szCs w:val="20"/>
        <w:vertAlign w:val="baseline"/>
      </w:rPr>
    </w:pPr>
    <w:r w:rsidDel="00000000" w:rsidR="00000000" w:rsidRPr="00000000">
      <w:rPr>
        <w:sz w:val="20"/>
        <w:szCs w:val="20"/>
        <w:rtl w:val="0"/>
      </w:rPr>
      <w:t xml:space="preserve">NZMGA Supervised Work Experience Record (Oct 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42"/>
        <w:szCs w:val="42"/>
      </w:rPr>
    </w:pPr>
    <w:r w:rsidDel="00000000" w:rsidR="00000000" w:rsidRPr="00000000">
      <w:rPr>
        <w:sz w:val="34"/>
        <w:szCs w:val="34"/>
      </w:rPr>
      <w:drawing>
        <wp:inline distB="57150" distT="57150" distL="57150" distR="57150">
          <wp:extent cx="1071563" cy="696516"/>
          <wp:effectExtent b="0" l="0" r="0" t="0"/>
          <wp:docPr descr="NZMGA_logo_1" id="2" name="image1.jpg"/>
          <a:graphic>
            <a:graphicData uri="http://schemas.openxmlformats.org/drawingml/2006/picture">
              <pic:pic>
                <pic:nvPicPr>
                  <pic:cNvPr descr="NZMGA_logo_1" id="0" name="image1.jpg"/>
                  <pic:cNvPicPr preferRelativeResize="0"/>
                </pic:nvPicPr>
                <pic:blipFill>
                  <a:blip r:embed="rId1"/>
                  <a:srcRect b="0" l="0" r="0" t="0"/>
                  <a:stretch>
                    <a:fillRect/>
                  </a:stretch>
                </pic:blipFill>
                <pic:spPr>
                  <a:xfrm>
                    <a:off x="0" y="0"/>
                    <a:ext cx="1071563" cy="696516"/>
                  </a:xfrm>
                  <a:prstGeom prst="rect"/>
                  <a:ln/>
                </pic:spPr>
              </pic:pic>
            </a:graphicData>
          </a:graphic>
        </wp:inline>
      </w:drawing>
    </w:r>
    <w:r w:rsidDel="00000000" w:rsidR="00000000" w:rsidRPr="00000000">
      <w:rPr>
        <w:sz w:val="34"/>
        <w:szCs w:val="34"/>
        <w:rtl w:val="0"/>
      </w:rPr>
      <w:t xml:space="preserve"> </w:t>
    </w:r>
    <w:r w:rsidDel="00000000" w:rsidR="00000000" w:rsidRPr="00000000">
      <w:rPr>
        <w:sz w:val="42"/>
        <w:szCs w:val="42"/>
        <w:rtl w:val="0"/>
      </w:rPr>
      <w:t xml:space="preserve">NEW ZEALAND MOUNTAIN GUIDES ASSOCIATION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952500</wp:posOffset>
              </wp:positionV>
              <wp:extent cx="6800850" cy="19050"/>
              <wp:effectExtent b="0" l="0" r="0" t="0"/>
              <wp:wrapNone/>
              <wp:docPr id="1" name=""/>
              <a:graphic>
                <a:graphicData uri="http://schemas.microsoft.com/office/word/2010/wordprocessingShape">
                  <wps:wsp>
                    <wps:cNvCnPr/>
                    <wps:spPr>
                      <a:xfrm>
                        <a:off x="1945575" y="3780000"/>
                        <a:ext cx="6800850" cy="0"/>
                      </a:xfrm>
                      <a:prstGeom prst="straightConnector1">
                        <a:avLst/>
                      </a:prstGeom>
                      <a:noFill/>
                      <a:ln cap="flat" cmpd="sng" w="19050">
                        <a:solidFill>
                          <a:srgbClr val="FFFF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952500</wp:posOffset>
              </wp:positionV>
              <wp:extent cx="6800850" cy="190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00850" cy="19050"/>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34"/>
        <w:szCs w:val="3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